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B8E" w:rsidRDefault="00FC56A4" w:rsidP="00FC56A4">
      <w:pPr>
        <w:pStyle w:val="Heading1"/>
      </w:pPr>
      <w:r>
        <w:t>Gold Price Participation</w:t>
      </w:r>
    </w:p>
    <w:p w:rsidR="00FC56A4" w:rsidRPr="00FC56A4" w:rsidRDefault="00FC56A4" w:rsidP="00FC56A4">
      <w:r>
        <w:t>This subcategorization is intended to describe all the ways it’s possible to participate in the changes in the price of gold.</w:t>
      </w:r>
    </w:p>
    <w:p w:rsidR="003C0B8E" w:rsidRDefault="003C0B8E">
      <w:pPr>
        <w:ind w:right="234"/>
      </w:pPr>
    </w:p>
    <w:p w:rsidR="003C0B8E" w:rsidRDefault="003C0B8E">
      <w:pPr>
        <w:ind w:right="234"/>
      </w:pPr>
    </w:p>
    <w:p w:rsidR="003C0B8E" w:rsidRDefault="000023B6">
      <w:pPr>
        <w:pStyle w:val="Heading1"/>
      </w:pPr>
      <w:r>
        <w:t>Gold Price Participation</w:t>
      </w:r>
      <w:r w:rsidR="0033339E">
        <w:t xml:space="preserve"> taxonomy</w:t>
      </w:r>
    </w:p>
    <w:p w:rsidR="003C0B8E" w:rsidRDefault="0033339E">
      <w:pPr>
        <w:ind w:right="234"/>
        <w:rPr>
          <w:rFonts w:ascii="Courier" w:hAnsi="Courier"/>
        </w:rPr>
      </w:pPr>
      <w:r>
        <w:t xml:space="preserve">The following  </w:t>
      </w:r>
      <w:r w:rsidR="006B4204">
        <w:t>Gold Price Participation</w:t>
      </w:r>
      <w:r>
        <w:t xml:space="preserve"> taxonomy </w:t>
      </w:r>
      <w:r w:rsidR="006B4204">
        <w:t>has a</w:t>
      </w:r>
      <w:r>
        <w:t xml:space="preserve"> </w:t>
      </w:r>
      <w:r w:rsidRPr="006B4204">
        <w:rPr>
          <w:i/>
        </w:rPr>
        <w:t>feature restriction part</w:t>
      </w:r>
      <w:r>
        <w:t xml:space="preserve"> and </w:t>
      </w:r>
      <w:r w:rsidR="006B4204" w:rsidRPr="006B4204">
        <w:rPr>
          <w:i/>
        </w:rPr>
        <w:t>a</w:t>
      </w:r>
      <w:r w:rsidRPr="006B4204">
        <w:rPr>
          <w:i/>
        </w:rPr>
        <w:t xml:space="preserve"> lexical part</w:t>
      </w:r>
      <w:r>
        <w:t>, followed by the specifics of how this material is interpreted.</w:t>
      </w:r>
    </w:p>
    <w:p w:rsidR="003C0B8E" w:rsidRDefault="003C0B8E">
      <w:pPr>
        <w:ind w:right="234"/>
        <w:rPr>
          <w:rFonts w:ascii="Courier" w:hAnsi="Courier"/>
        </w:rPr>
      </w:pPr>
    </w:p>
    <w:p w:rsidR="003C0B8E" w:rsidRDefault="003C0B8E">
      <w:pPr>
        <w:ind w:right="234"/>
        <w:rPr>
          <w:rFonts w:ascii="Courier" w:hAnsi="Courier"/>
        </w:rPr>
      </w:pPr>
    </w:p>
    <w:p w:rsidR="003C0B8E" w:rsidRDefault="0033339E">
      <w:pPr>
        <w:ind w:right="234"/>
        <w:rPr>
          <w:b/>
        </w:rPr>
      </w:pPr>
      <w:r>
        <w:rPr>
          <w:b/>
        </w:rPr>
        <w:t>Feature Coocurrence Restrictions:</w:t>
      </w:r>
    </w:p>
    <w:p w:rsidR="003C0B8E" w:rsidRDefault="003C0B8E">
      <w:pPr>
        <w:ind w:left="720" w:right="234" w:hanging="720"/>
      </w:pPr>
    </w:p>
    <w:p w:rsidR="003C0B8E" w:rsidRDefault="0033339E">
      <w:pPr>
        <w:ind w:left="720" w:right="234" w:hanging="720"/>
      </w:pPr>
      <w:r w:rsidRPr="000023B6">
        <w:rPr>
          <w:highlight w:val="green"/>
        </w:rPr>
        <w:t>+</w:t>
      </w:r>
      <w:r w:rsidR="000023B6" w:rsidRPr="000023B6">
        <w:rPr>
          <w:highlight w:val="green"/>
        </w:rPr>
        <w:t>priceParticipation</w:t>
      </w:r>
      <w:r>
        <w:t xml:space="preserve">  </w:t>
      </w:r>
      <w:r>
        <w:rPr>
          <w:u w:val="single"/>
        </w:rPr>
        <w:t>has</w:t>
      </w:r>
      <w:r>
        <w:t xml:space="preserve">  { +-</w:t>
      </w:r>
      <w:r w:rsidR="00AD36E6">
        <w:rPr>
          <w:color w:val="008000"/>
        </w:rPr>
        <w:t>e</w:t>
      </w:r>
      <w:r w:rsidR="003869AF">
        <w:rPr>
          <w:color w:val="008000"/>
        </w:rPr>
        <w:t>x</w:t>
      </w:r>
      <w:r w:rsidR="000023B6">
        <w:rPr>
          <w:color w:val="008000"/>
        </w:rPr>
        <w:t>changeTraded</w:t>
      </w:r>
      <w:r w:rsidR="00AD36E6">
        <w:t>, +(</w:t>
      </w:r>
      <w:r w:rsidR="002600D3">
        <w:rPr>
          <w:color w:val="0000FF"/>
        </w:rPr>
        <w:t>goldM</w:t>
      </w:r>
      <w:r w:rsidR="00AD36E6">
        <w:rPr>
          <w:color w:val="0000FF"/>
        </w:rPr>
        <w:t>iner</w:t>
      </w:r>
      <w:r w:rsidR="00AD36E6">
        <w:t xml:space="preserve"> | </w:t>
      </w:r>
      <w:r w:rsidR="002600D3">
        <w:rPr>
          <w:color w:val="0000FF"/>
        </w:rPr>
        <w:t>goldP</w:t>
      </w:r>
      <w:r w:rsidR="00AD36E6">
        <w:rPr>
          <w:color w:val="0000FF"/>
        </w:rPr>
        <w:t>rocessor</w:t>
      </w:r>
      <w:r w:rsidR="00AD36E6">
        <w:t xml:space="preserve"> | </w:t>
      </w:r>
      <w:r w:rsidR="00AD36E6">
        <w:rPr>
          <w:color w:val="0000FF"/>
        </w:rPr>
        <w:t>gold</w:t>
      </w:r>
      <w:r w:rsidR="00C91F68">
        <w:t xml:space="preserve"> | </w:t>
      </w:r>
      <w:r w:rsidR="00C91F68">
        <w:rPr>
          <w:color w:val="0000FF"/>
        </w:rPr>
        <w:t>derivative</w:t>
      </w:r>
      <w:r w:rsidR="00AD36E6">
        <w:t>)</w:t>
      </w:r>
      <w:r>
        <w:t>,</w:t>
      </w:r>
      <w:r w:rsidR="003869AF">
        <w:t xml:space="preserve"> </w:t>
      </w:r>
      <w:r>
        <w:rPr>
          <w:color w:val="008000"/>
        </w:rPr>
        <w:t xml:space="preserve"> </w:t>
      </w:r>
      <w:r>
        <w:t>... ... }</w:t>
      </w:r>
    </w:p>
    <w:p w:rsidR="007C38B1" w:rsidRDefault="007C38B1" w:rsidP="007C38B1">
      <w:pPr>
        <w:ind w:left="720" w:right="234" w:hanging="720"/>
      </w:pPr>
      <w:r>
        <w:t xml:space="preserve">/*Elaboration:  </w:t>
      </w:r>
      <w:r w:rsidR="00637408">
        <w:t>Maybe goldProcessor is out of scope</w:t>
      </w:r>
      <w:r>
        <w:t>.*/</w:t>
      </w:r>
    </w:p>
    <w:p w:rsidR="006C72CF" w:rsidRDefault="006C72CF" w:rsidP="006C72CF">
      <w:pPr>
        <w:ind w:left="720" w:right="234" w:hanging="720"/>
      </w:pPr>
    </w:p>
    <w:p w:rsidR="006C72CF" w:rsidRDefault="006C72CF" w:rsidP="006C72CF">
      <w:pPr>
        <w:ind w:left="720" w:right="234" w:hanging="720"/>
      </w:pPr>
      <w:r>
        <w:rPr>
          <w:highlight w:val="green"/>
        </w:rPr>
        <w:t>+gold</w:t>
      </w:r>
      <w:r>
        <w:t xml:space="preserve">  </w:t>
      </w:r>
      <w:r>
        <w:rPr>
          <w:u w:val="single"/>
        </w:rPr>
        <w:t>has</w:t>
      </w:r>
      <w:r>
        <w:t xml:space="preserve">  { +-</w:t>
      </w:r>
      <w:r>
        <w:rPr>
          <w:color w:val="FF0000"/>
        </w:rPr>
        <w:t>selfBacked</w:t>
      </w:r>
      <w:r>
        <w:t xml:space="preserve">, </w:t>
      </w:r>
      <w:r>
        <w:rPr>
          <w:color w:val="008000"/>
        </w:rPr>
        <w:t xml:space="preserve"> </w:t>
      </w:r>
      <w:r>
        <w:t>... ... }</w:t>
      </w:r>
    </w:p>
    <w:p w:rsidR="003C0B8E" w:rsidRDefault="003C0B8E" w:rsidP="00637408">
      <w:pPr>
        <w:ind w:right="234"/>
      </w:pPr>
    </w:p>
    <w:p w:rsidR="003C0B8E" w:rsidRDefault="0033339E">
      <w:pPr>
        <w:ind w:left="720" w:right="234" w:hanging="720"/>
      </w:pPr>
      <w:r>
        <w:rPr>
          <w:highlight w:val="green"/>
        </w:rPr>
        <w:t>+</w:t>
      </w:r>
      <w:r w:rsidR="00637408">
        <w:rPr>
          <w:highlight w:val="green"/>
        </w:rPr>
        <w:t>ownership</w:t>
      </w:r>
      <w:r>
        <w:t xml:space="preserve">  </w:t>
      </w:r>
      <w:r>
        <w:rPr>
          <w:u w:val="single"/>
        </w:rPr>
        <w:t>has</w:t>
      </w:r>
      <w:r>
        <w:t xml:space="preserve">  {  +</w:t>
      </w:r>
      <w:r w:rsidR="003869AF">
        <w:rPr>
          <w:color w:val="FF0000"/>
        </w:rPr>
        <w:t>depository</w:t>
      </w:r>
      <w:r>
        <w:t xml:space="preserve"> }</w:t>
      </w:r>
    </w:p>
    <w:p w:rsidR="00637408" w:rsidRDefault="00637408" w:rsidP="00637408">
      <w:pPr>
        <w:ind w:left="720" w:right="234" w:hanging="720"/>
      </w:pPr>
    </w:p>
    <w:p w:rsidR="00637408" w:rsidRDefault="00637408" w:rsidP="00637408">
      <w:pPr>
        <w:ind w:left="720" w:right="234" w:hanging="720"/>
      </w:pPr>
      <w:r>
        <w:rPr>
          <w:highlight w:val="green"/>
        </w:rPr>
        <w:t>+posession</w:t>
      </w:r>
      <w:r>
        <w:t xml:space="preserve">  </w:t>
      </w:r>
      <w:r>
        <w:rPr>
          <w:u w:val="single"/>
        </w:rPr>
        <w:t>has</w:t>
      </w:r>
      <w:r>
        <w:t xml:space="preserve">  {  -</w:t>
      </w:r>
      <w:r>
        <w:rPr>
          <w:color w:val="FF0000"/>
        </w:rPr>
        <w:t>depository</w:t>
      </w:r>
      <w:r w:rsidR="0017420C" w:rsidRPr="0017420C">
        <w:t>, +-</w:t>
      </w:r>
      <w:r w:rsidR="0017420C">
        <w:rPr>
          <w:color w:val="FF0000"/>
        </w:rPr>
        <w:t>safedepositbox</w:t>
      </w:r>
      <w:r w:rsidR="0017420C" w:rsidRPr="0017420C">
        <w:t xml:space="preserve">, </w:t>
      </w:r>
      <w:r w:rsidRPr="0017420C">
        <w:t xml:space="preserve"> </w:t>
      </w:r>
      <w:r>
        <w:t>}</w:t>
      </w:r>
    </w:p>
    <w:p w:rsidR="003C0B8E" w:rsidRDefault="003C0B8E">
      <w:pPr>
        <w:ind w:left="720" w:right="234" w:hanging="720"/>
      </w:pPr>
    </w:p>
    <w:p w:rsidR="003C0B8E" w:rsidRDefault="0033339E">
      <w:pPr>
        <w:ind w:left="720" w:right="234" w:hanging="720"/>
      </w:pPr>
      <w:r>
        <w:rPr>
          <w:highlight w:val="green"/>
        </w:rPr>
        <w:t>+</w:t>
      </w:r>
      <w:r w:rsidR="00AD36E6">
        <w:rPr>
          <w:highlight w:val="green"/>
        </w:rPr>
        <w:t>e</w:t>
      </w:r>
      <w:r w:rsidR="000023B6">
        <w:rPr>
          <w:highlight w:val="green"/>
        </w:rPr>
        <w:t>xchangeTraded</w:t>
      </w:r>
      <w:r>
        <w:t xml:space="preserve">  </w:t>
      </w:r>
      <w:r>
        <w:rPr>
          <w:u w:val="single"/>
        </w:rPr>
        <w:t>has</w:t>
      </w:r>
      <w:r>
        <w:t xml:space="preserve">  { }</w:t>
      </w:r>
    </w:p>
    <w:p w:rsidR="003C0B8E" w:rsidRDefault="0075634C">
      <w:pPr>
        <w:ind w:left="720" w:right="234" w:hanging="720"/>
      </w:pPr>
      <w:r>
        <w:t>/*Elaboration:  The specific exchange goes here.</w:t>
      </w:r>
      <w:r w:rsidR="0033339E">
        <w:t>*/</w:t>
      </w:r>
    </w:p>
    <w:p w:rsidR="003C0B8E" w:rsidRDefault="003C0B8E">
      <w:pPr>
        <w:ind w:left="720" w:right="234" w:hanging="720"/>
      </w:pPr>
    </w:p>
    <w:p w:rsidR="003C0B8E" w:rsidRDefault="0033339E">
      <w:pPr>
        <w:ind w:left="720" w:right="234" w:hanging="720"/>
      </w:pPr>
      <w:r>
        <w:rPr>
          <w:highlight w:val="green"/>
        </w:rPr>
        <w:t>+</w:t>
      </w:r>
      <w:r w:rsidR="00CF6986">
        <w:rPr>
          <w:highlight w:val="green"/>
        </w:rPr>
        <w:t>derivative</w:t>
      </w:r>
      <w:r>
        <w:t xml:space="preserve">  </w:t>
      </w:r>
      <w:r>
        <w:rPr>
          <w:u w:val="single"/>
        </w:rPr>
        <w:t>has</w:t>
      </w:r>
      <w:r>
        <w:t xml:space="preserve">  { </w:t>
      </w:r>
      <w:r w:rsidR="00C91F68">
        <w:t>+(</w:t>
      </w:r>
      <w:r w:rsidR="00C91F68">
        <w:rPr>
          <w:color w:val="0000FF"/>
        </w:rPr>
        <w:t>put</w:t>
      </w:r>
      <w:r w:rsidR="00C91F68">
        <w:t xml:space="preserve"> | </w:t>
      </w:r>
      <w:r w:rsidR="00C91F68">
        <w:rPr>
          <w:color w:val="0000FF"/>
        </w:rPr>
        <w:t>call</w:t>
      </w:r>
      <w:r w:rsidR="00C91F68">
        <w:t xml:space="preserve"> | </w:t>
      </w:r>
      <w:r w:rsidR="00C91F68">
        <w:rPr>
          <w:color w:val="0000FF"/>
        </w:rPr>
        <w:t>CDS</w:t>
      </w:r>
      <w:r w:rsidR="00C91F68">
        <w:t xml:space="preserve"> | </w:t>
      </w:r>
      <w:r w:rsidR="00C91F68">
        <w:rPr>
          <w:color w:val="0000FF"/>
        </w:rPr>
        <w:t>futureDelivery</w:t>
      </w:r>
      <w:r w:rsidR="00C91F68">
        <w:t>)</w:t>
      </w:r>
      <w:r w:rsidR="005164BD">
        <w:t xml:space="preserve"> </w:t>
      </w:r>
      <w:r>
        <w:t xml:space="preserve"> } </w:t>
      </w:r>
    </w:p>
    <w:p w:rsidR="003C0B8E" w:rsidRDefault="003C0B8E" w:rsidP="002600D3">
      <w:pPr>
        <w:ind w:left="720" w:right="234" w:hanging="720"/>
      </w:pPr>
    </w:p>
    <w:p w:rsidR="003C0B8E" w:rsidRDefault="003C0B8E">
      <w:pPr>
        <w:ind w:left="720" w:right="234" w:hanging="720"/>
      </w:pPr>
    </w:p>
    <w:p w:rsidR="003C0B8E" w:rsidRDefault="0033339E">
      <w:pPr>
        <w:ind w:left="720" w:right="234" w:hanging="720"/>
      </w:pPr>
      <w:r>
        <w:rPr>
          <w:highlight w:val="green"/>
        </w:rPr>
        <w:t>+</w:t>
      </w:r>
      <w:r w:rsidR="005164BD">
        <w:rPr>
          <w:highlight w:val="green"/>
        </w:rPr>
        <w:t>depository</w:t>
      </w:r>
      <w:r>
        <w:t xml:space="preserve">  </w:t>
      </w:r>
      <w:r>
        <w:rPr>
          <w:u w:val="single"/>
        </w:rPr>
        <w:t>has</w:t>
      </w:r>
      <w:r>
        <w:t xml:space="preserve">  { </w:t>
      </w:r>
      <w:r w:rsidR="005164BD">
        <w:t>+-</w:t>
      </w:r>
      <w:r w:rsidR="005164BD">
        <w:rPr>
          <w:color w:val="008000"/>
        </w:rPr>
        <w:t>allocated</w:t>
      </w:r>
      <w:r w:rsidR="005164BD">
        <w:t>,</w:t>
      </w:r>
      <w:r>
        <w:t xml:space="preserve"> ... ... }</w:t>
      </w:r>
    </w:p>
    <w:p w:rsidR="003C0B8E" w:rsidRDefault="003C0B8E">
      <w:pPr>
        <w:ind w:left="720" w:right="234" w:hanging="720"/>
      </w:pPr>
    </w:p>
    <w:p w:rsidR="003C0B8E" w:rsidRDefault="003C0B8E">
      <w:pPr>
        <w:ind w:left="720" w:right="234" w:hanging="720"/>
      </w:pPr>
    </w:p>
    <w:p w:rsidR="003C0B8E" w:rsidRDefault="0033339E">
      <w:pPr>
        <w:ind w:right="234"/>
        <w:rPr>
          <w:b/>
        </w:rPr>
      </w:pPr>
      <w:r>
        <w:rPr>
          <w:b/>
        </w:rPr>
        <w:t>LEXICON:</w:t>
      </w:r>
    </w:p>
    <w:p w:rsidR="003C0B8E" w:rsidRDefault="003C0B8E">
      <w:pPr>
        <w:ind w:right="234"/>
        <w:rPr>
          <w:rFonts w:ascii="Courier" w:hAnsi="Courier"/>
        </w:rPr>
      </w:pPr>
    </w:p>
    <w:p w:rsidR="003C0B8E" w:rsidRDefault="0033339E">
      <w:pPr>
        <w:ind w:right="234"/>
        <w:rPr>
          <w:rFonts w:ascii="Courier" w:hAnsi="Courier"/>
        </w:rPr>
      </w:pPr>
      <w:r>
        <w:rPr>
          <w:rFonts w:ascii="Courier" w:hAnsi="Courier"/>
          <w:color w:val="FF0000"/>
        </w:rPr>
        <w:t>ADJECTIVES,</w:t>
      </w:r>
      <w:r>
        <w:rPr>
          <w:rFonts w:ascii="Courier" w:hAnsi="Courier"/>
        </w:rPr>
        <w:t xml:space="preserve"> </w:t>
      </w:r>
      <w:r>
        <w:rPr>
          <w:rFonts w:ascii="Courier" w:hAnsi="Courier"/>
          <w:color w:val="008000"/>
        </w:rPr>
        <w:t>CONCEPTS</w:t>
      </w:r>
      <w:r>
        <w:rPr>
          <w:rFonts w:ascii="Courier" w:hAnsi="Courier"/>
        </w:rPr>
        <w:t xml:space="preserve">, and </w:t>
      </w:r>
      <w:r>
        <w:rPr>
          <w:rFonts w:ascii="Courier" w:hAnsi="Courier"/>
          <w:color w:val="0000FF"/>
        </w:rPr>
        <w:t>NOUNS</w:t>
      </w:r>
    </w:p>
    <w:p w:rsidR="003C0B8E" w:rsidRDefault="003C0B8E">
      <w:pPr>
        <w:ind w:right="234"/>
        <w:rPr>
          <w:rFonts w:ascii="Courier" w:hAnsi="Courier"/>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998"/>
        <w:gridCol w:w="6390"/>
      </w:tblGrid>
      <w:tr w:rsidR="003C0B8E">
        <w:tc>
          <w:tcPr>
            <w:tcW w:w="1998" w:type="dxa"/>
            <w:tcBorders>
              <w:top w:val="single" w:sz="6" w:space="0" w:color="auto"/>
              <w:left w:val="single" w:sz="6" w:space="0" w:color="auto"/>
              <w:bottom w:val="single" w:sz="6" w:space="0" w:color="auto"/>
              <w:right w:val="single" w:sz="6" w:space="0" w:color="auto"/>
            </w:tcBorders>
          </w:tcPr>
          <w:p w:rsidR="003C0B8E" w:rsidRDefault="0033339E">
            <w:pPr>
              <w:ind w:right="234"/>
              <w:rPr>
                <w:b/>
              </w:rPr>
            </w:pPr>
            <w:r>
              <w:rPr>
                <w:b/>
              </w:rPr>
              <w:t>term</w:t>
            </w:r>
          </w:p>
        </w:tc>
        <w:tc>
          <w:tcPr>
            <w:tcW w:w="6390" w:type="dxa"/>
            <w:tcBorders>
              <w:top w:val="single" w:sz="6" w:space="0" w:color="auto"/>
              <w:left w:val="single" w:sz="6" w:space="0" w:color="auto"/>
              <w:bottom w:val="single" w:sz="6" w:space="0" w:color="auto"/>
              <w:right w:val="single" w:sz="6" w:space="0" w:color="auto"/>
            </w:tcBorders>
          </w:tcPr>
          <w:p w:rsidR="003C0B8E" w:rsidRDefault="0033339E">
            <w:pPr>
              <w:ind w:right="234"/>
              <w:rPr>
                <w:b/>
              </w:rPr>
            </w:pPr>
            <w:r>
              <w:rPr>
                <w:b/>
              </w:rPr>
              <w:t>definition</w:t>
            </w:r>
          </w:p>
        </w:tc>
      </w:tr>
      <w:tr w:rsidR="003C0B8E">
        <w:tc>
          <w:tcPr>
            <w:tcW w:w="1998" w:type="dxa"/>
            <w:tcBorders>
              <w:top w:val="single" w:sz="6" w:space="0" w:color="auto"/>
              <w:left w:val="single" w:sz="6" w:space="0" w:color="auto"/>
              <w:bottom w:val="single" w:sz="6" w:space="0" w:color="auto"/>
              <w:right w:val="single" w:sz="6" w:space="0" w:color="auto"/>
            </w:tcBorders>
          </w:tcPr>
          <w:p w:rsidR="003C0B8E" w:rsidRDefault="003869AF">
            <w:pPr>
              <w:ind w:right="234"/>
              <w:rPr>
                <w:color w:val="FF0000"/>
              </w:rPr>
            </w:pPr>
            <w:r>
              <w:rPr>
                <w:color w:val="FF0000"/>
              </w:rPr>
              <w:t>selfBacked</w:t>
            </w:r>
          </w:p>
        </w:tc>
        <w:tc>
          <w:tcPr>
            <w:tcW w:w="6390" w:type="dxa"/>
            <w:tcBorders>
              <w:top w:val="single" w:sz="6" w:space="0" w:color="auto"/>
              <w:left w:val="single" w:sz="6" w:space="0" w:color="auto"/>
              <w:bottom w:val="single" w:sz="6" w:space="0" w:color="auto"/>
              <w:right w:val="single" w:sz="6" w:space="0" w:color="auto"/>
            </w:tcBorders>
          </w:tcPr>
          <w:p w:rsidR="003C0B8E" w:rsidRDefault="003869AF" w:rsidP="003869AF">
            <w:pPr>
              <w:ind w:right="234"/>
            </w:pPr>
            <w:r>
              <w:t xml:space="preserve">The asset has no counterparty: it is itself gold.  </w:t>
            </w:r>
          </w:p>
        </w:tc>
      </w:tr>
      <w:tr w:rsidR="0075634C">
        <w:tc>
          <w:tcPr>
            <w:tcW w:w="1998" w:type="dxa"/>
            <w:tcBorders>
              <w:top w:val="single" w:sz="6" w:space="0" w:color="auto"/>
              <w:left w:val="single" w:sz="6" w:space="0" w:color="auto"/>
              <w:bottom w:val="single" w:sz="6" w:space="0" w:color="auto"/>
              <w:right w:val="single" w:sz="6" w:space="0" w:color="auto"/>
            </w:tcBorders>
          </w:tcPr>
          <w:p w:rsidR="0075634C" w:rsidRDefault="0075634C">
            <w:pPr>
              <w:ind w:right="234"/>
              <w:rPr>
                <w:color w:val="FF0000"/>
              </w:rPr>
            </w:pPr>
            <w:r>
              <w:rPr>
                <w:color w:val="FF0000"/>
              </w:rPr>
              <w:t>allocated</w:t>
            </w:r>
          </w:p>
        </w:tc>
        <w:tc>
          <w:tcPr>
            <w:tcW w:w="6390" w:type="dxa"/>
            <w:tcBorders>
              <w:top w:val="single" w:sz="6" w:space="0" w:color="auto"/>
              <w:left w:val="single" w:sz="6" w:space="0" w:color="auto"/>
              <w:bottom w:val="single" w:sz="6" w:space="0" w:color="auto"/>
              <w:right w:val="single" w:sz="6" w:space="0" w:color="auto"/>
            </w:tcBorders>
          </w:tcPr>
          <w:p w:rsidR="0075634C" w:rsidRDefault="0075634C" w:rsidP="0075634C">
            <w:pPr>
              <w:ind w:right="234"/>
            </w:pPr>
            <w:r>
              <w:t>The depository maintains a bidirectional mapping between specific molecules of gold and a particular ownership instance.  The owner can i) ask to see, and ii) can remove from the depository ‘his’ gold.</w:t>
            </w:r>
          </w:p>
        </w:tc>
      </w:tr>
      <w:tr w:rsidR="003C0B8E">
        <w:tc>
          <w:tcPr>
            <w:tcW w:w="1998" w:type="dxa"/>
            <w:tcBorders>
              <w:top w:val="single" w:sz="6" w:space="0" w:color="auto"/>
              <w:left w:val="single" w:sz="6" w:space="0" w:color="auto"/>
              <w:bottom w:val="single" w:sz="6" w:space="0" w:color="auto"/>
              <w:right w:val="single" w:sz="6" w:space="0" w:color="auto"/>
            </w:tcBorders>
          </w:tcPr>
          <w:p w:rsidR="003C0B8E" w:rsidRDefault="003869AF">
            <w:pPr>
              <w:ind w:right="234"/>
              <w:rPr>
                <w:color w:val="FF0000"/>
              </w:rPr>
            </w:pPr>
            <w:r>
              <w:rPr>
                <w:color w:val="FF0000"/>
              </w:rPr>
              <w:t>depository</w:t>
            </w:r>
          </w:p>
        </w:tc>
        <w:tc>
          <w:tcPr>
            <w:tcW w:w="6390" w:type="dxa"/>
            <w:tcBorders>
              <w:top w:val="single" w:sz="6" w:space="0" w:color="auto"/>
              <w:left w:val="single" w:sz="6" w:space="0" w:color="auto"/>
              <w:bottom w:val="single" w:sz="6" w:space="0" w:color="auto"/>
              <w:right w:val="single" w:sz="6" w:space="0" w:color="auto"/>
            </w:tcBorders>
          </w:tcPr>
          <w:p w:rsidR="003C0B8E" w:rsidRDefault="0033339E" w:rsidP="003869AF">
            <w:pPr>
              <w:ind w:right="234"/>
            </w:pPr>
            <w:r>
              <w:t>D</w:t>
            </w:r>
            <w:r w:rsidR="003869AF">
              <w:t xml:space="preserve">epository gold is in a vault, insured, </w:t>
            </w:r>
            <w:r w:rsidR="0075634C">
              <w:t xml:space="preserve">and </w:t>
            </w:r>
            <w:r w:rsidR="003869AF">
              <w:t>free of assay upon resale</w:t>
            </w:r>
            <w:r w:rsidR="0075634C">
              <w:t>.</w:t>
            </w:r>
          </w:p>
        </w:tc>
      </w:tr>
      <w:tr w:rsidR="00AD36E6">
        <w:tc>
          <w:tcPr>
            <w:tcW w:w="1998" w:type="dxa"/>
            <w:tcBorders>
              <w:top w:val="single" w:sz="6" w:space="0" w:color="auto"/>
              <w:left w:val="single" w:sz="6" w:space="0" w:color="auto"/>
              <w:bottom w:val="single" w:sz="6" w:space="0" w:color="auto"/>
              <w:right w:val="single" w:sz="6" w:space="0" w:color="auto"/>
            </w:tcBorders>
          </w:tcPr>
          <w:p w:rsidR="00AD36E6" w:rsidRDefault="002600D3">
            <w:pPr>
              <w:ind w:right="234"/>
              <w:rPr>
                <w:color w:val="0000FF"/>
              </w:rPr>
            </w:pPr>
            <w:r>
              <w:rPr>
                <w:color w:val="0000FF"/>
              </w:rPr>
              <w:t>goldServices</w:t>
            </w:r>
          </w:p>
        </w:tc>
        <w:tc>
          <w:tcPr>
            <w:tcW w:w="6390" w:type="dxa"/>
            <w:tcBorders>
              <w:top w:val="single" w:sz="6" w:space="0" w:color="auto"/>
              <w:left w:val="single" w:sz="6" w:space="0" w:color="auto"/>
              <w:bottom w:val="single" w:sz="6" w:space="0" w:color="auto"/>
              <w:right w:val="single" w:sz="6" w:space="0" w:color="auto"/>
            </w:tcBorders>
          </w:tcPr>
          <w:p w:rsidR="00AD36E6" w:rsidRDefault="00AD36E6">
            <w:pPr>
              <w:ind w:right="234"/>
            </w:pPr>
            <w:r>
              <w:t xml:space="preserve">A </w:t>
            </w:r>
            <w:r w:rsidR="002600D3">
              <w:t xml:space="preserve">gold </w:t>
            </w:r>
            <w:r>
              <w:t>mint, crusher, or ore transportation company.</w:t>
            </w:r>
          </w:p>
        </w:tc>
      </w:tr>
      <w:tr w:rsidR="00AD36E6">
        <w:tc>
          <w:tcPr>
            <w:tcW w:w="1998" w:type="dxa"/>
            <w:tcBorders>
              <w:top w:val="single" w:sz="6" w:space="0" w:color="auto"/>
              <w:left w:val="single" w:sz="6" w:space="0" w:color="auto"/>
              <w:bottom w:val="single" w:sz="6" w:space="0" w:color="auto"/>
              <w:right w:val="single" w:sz="6" w:space="0" w:color="auto"/>
            </w:tcBorders>
          </w:tcPr>
          <w:p w:rsidR="00AD36E6" w:rsidRDefault="002600D3">
            <w:pPr>
              <w:ind w:right="234"/>
              <w:rPr>
                <w:color w:val="0000FF"/>
              </w:rPr>
            </w:pPr>
            <w:r>
              <w:rPr>
                <w:color w:val="0000FF"/>
              </w:rPr>
              <w:t>goldM</w:t>
            </w:r>
            <w:r w:rsidR="00AD36E6">
              <w:rPr>
                <w:color w:val="0000FF"/>
              </w:rPr>
              <w:t>iner</w:t>
            </w:r>
          </w:p>
        </w:tc>
        <w:tc>
          <w:tcPr>
            <w:tcW w:w="6390" w:type="dxa"/>
            <w:tcBorders>
              <w:top w:val="single" w:sz="6" w:space="0" w:color="auto"/>
              <w:left w:val="single" w:sz="6" w:space="0" w:color="auto"/>
              <w:bottom w:val="single" w:sz="6" w:space="0" w:color="auto"/>
              <w:right w:val="single" w:sz="6" w:space="0" w:color="auto"/>
            </w:tcBorders>
          </w:tcPr>
          <w:p w:rsidR="00AD36E6" w:rsidRDefault="006C72CF" w:rsidP="00AD36E6">
            <w:pPr>
              <w:ind w:right="234"/>
            </w:pPr>
            <w:r>
              <w:t xml:space="preserve">Partial legal ownership, measured in shares, of </w:t>
            </w:r>
            <w:r w:rsidR="00AD36E6">
              <w:t>a mining company whose principal asset is gold in the ground.  product is gold.</w:t>
            </w:r>
          </w:p>
        </w:tc>
      </w:tr>
      <w:tr w:rsidR="00AD36E6">
        <w:tc>
          <w:tcPr>
            <w:tcW w:w="1998" w:type="dxa"/>
            <w:tcBorders>
              <w:top w:val="single" w:sz="6" w:space="0" w:color="auto"/>
              <w:left w:val="single" w:sz="6" w:space="0" w:color="auto"/>
              <w:bottom w:val="single" w:sz="6" w:space="0" w:color="auto"/>
              <w:right w:val="single" w:sz="6" w:space="0" w:color="auto"/>
            </w:tcBorders>
          </w:tcPr>
          <w:p w:rsidR="00AD36E6" w:rsidRDefault="00AD36E6">
            <w:pPr>
              <w:ind w:right="234"/>
              <w:rPr>
                <w:color w:val="0000FF"/>
              </w:rPr>
            </w:pPr>
            <w:r>
              <w:rPr>
                <w:color w:val="0000FF"/>
              </w:rPr>
              <w:t>gold</w:t>
            </w:r>
          </w:p>
        </w:tc>
        <w:tc>
          <w:tcPr>
            <w:tcW w:w="6390" w:type="dxa"/>
            <w:tcBorders>
              <w:top w:val="single" w:sz="6" w:space="0" w:color="auto"/>
              <w:left w:val="single" w:sz="6" w:space="0" w:color="auto"/>
              <w:bottom w:val="single" w:sz="6" w:space="0" w:color="auto"/>
              <w:right w:val="single" w:sz="6" w:space="0" w:color="auto"/>
            </w:tcBorders>
          </w:tcPr>
          <w:p w:rsidR="00AD36E6" w:rsidRDefault="006C72CF" w:rsidP="006C72CF">
            <w:pPr>
              <w:ind w:right="234"/>
            </w:pPr>
            <w:r>
              <w:t>Legal ownership, measured in troy ounces, of gold</w:t>
            </w:r>
            <w:r w:rsidR="00AD36E6">
              <w:t>.</w:t>
            </w:r>
          </w:p>
        </w:tc>
      </w:tr>
    </w:tbl>
    <w:p w:rsidR="003C0B8E" w:rsidRDefault="003C0B8E">
      <w:pPr>
        <w:ind w:right="234"/>
        <w:rPr>
          <w:rFonts w:ascii="Courier" w:hAnsi="Courier"/>
        </w:rPr>
      </w:pPr>
    </w:p>
    <w:p w:rsidR="003C0B8E" w:rsidRDefault="0033339E">
      <w:pPr>
        <w:pStyle w:val="Heading1"/>
      </w:pPr>
      <w:r>
        <w:t>Summary</w:t>
      </w:r>
    </w:p>
    <w:p w:rsidR="003C0B8E" w:rsidRDefault="003C0B8E">
      <w:pPr>
        <w:ind w:right="234"/>
      </w:pPr>
    </w:p>
    <w:p w:rsidR="003C0B8E" w:rsidRDefault="0033339E">
      <w:pPr>
        <w:ind w:right="234"/>
      </w:pPr>
      <w:r>
        <w:t xml:space="preserve">The feature coocurrence restrictions we have defined are intended to facilitate easy characterization of </w:t>
      </w:r>
      <w:r w:rsidR="0017420C">
        <w:t>instances of participating in the fluctuation in the spot price of gold</w:t>
      </w:r>
      <w:r>
        <w:t>.</w:t>
      </w:r>
      <w:r w:rsidR="0017420C">
        <w:t xml:space="preserve">  Definition of the spot price of gold is itself a study but </w:t>
      </w:r>
      <w:hyperlink r:id="rId7" w:history="1">
        <w:r w:rsidR="0017420C" w:rsidRPr="0017420C">
          <w:rPr>
            <w:rStyle w:val="Hyperlink"/>
          </w:rPr>
          <w:t>the  Bullionvault value</w:t>
        </w:r>
      </w:hyperlink>
      <w:r w:rsidR="0017420C">
        <w:t>, based on AUX-USD, is approximately what is intended.</w:t>
      </w:r>
    </w:p>
    <w:p w:rsidR="003C0B8E" w:rsidRDefault="003C0B8E">
      <w:pPr>
        <w:ind w:right="234"/>
      </w:pPr>
    </w:p>
    <w:p w:rsidR="003C0B8E" w:rsidRDefault="003C0B8E">
      <w:pPr>
        <w:ind w:right="234"/>
      </w:pPr>
    </w:p>
    <w:p w:rsidR="003C0B8E" w:rsidRDefault="003C0B8E">
      <w:pPr>
        <w:ind w:right="234"/>
      </w:pPr>
    </w:p>
    <w:p w:rsidR="003C0B8E" w:rsidRDefault="0033339E">
      <w:pPr>
        <w:pStyle w:val="Heading1"/>
      </w:pPr>
      <w:r>
        <w:lastRenderedPageBreak/>
        <w:t>Notational Conventions</w:t>
      </w:r>
    </w:p>
    <w:p w:rsidR="003C0B8E" w:rsidRDefault="003C0B8E">
      <w:pPr>
        <w:ind w:right="234"/>
      </w:pPr>
    </w:p>
    <w:p w:rsidR="003C0B8E" w:rsidRDefault="003C0B8E">
      <w:pPr>
        <w:ind w:right="234"/>
      </w:pPr>
    </w:p>
    <w:p w:rsidR="003C0B8E" w:rsidRDefault="0033339E">
      <w:pPr>
        <w:ind w:right="234"/>
      </w:pPr>
      <w:r>
        <w:t>The syntax of a feature coocurrence restriction is:</w:t>
      </w:r>
    </w:p>
    <w:p w:rsidR="003C0B8E" w:rsidRDefault="003C0B8E">
      <w:pPr>
        <w:ind w:right="234"/>
      </w:pPr>
    </w:p>
    <w:p w:rsidR="003C0B8E" w:rsidRDefault="0033339E">
      <w:pPr>
        <w:ind w:right="234"/>
      </w:pPr>
      <w:r>
        <w:t xml:space="preserve">&lt;feature&gt;  </w:t>
      </w:r>
      <w:r>
        <w:rPr>
          <w:color w:val="FF0000"/>
          <w:u w:val="single"/>
        </w:rPr>
        <w:t>has</w:t>
      </w:r>
      <w:r>
        <w:t xml:space="preserve">  </w:t>
      </w:r>
      <w:r>
        <w:rPr>
          <w:color w:val="FF0000"/>
        </w:rPr>
        <w:t>{</w:t>
      </w:r>
      <w:r>
        <w:t xml:space="preserve"> (( </w:t>
      </w:r>
      <w:r>
        <w:rPr>
          <w:color w:val="FF0000"/>
        </w:rPr>
        <w:t>+</w:t>
      </w:r>
      <w:r>
        <w:t xml:space="preserve"> | </w:t>
      </w:r>
      <w:r>
        <w:rPr>
          <w:color w:val="FF0000"/>
        </w:rPr>
        <w:t>-</w:t>
      </w:r>
      <w:r>
        <w:t xml:space="preserve"> | </w:t>
      </w:r>
      <w:r>
        <w:rPr>
          <w:color w:val="FF0000"/>
        </w:rPr>
        <w:t>+-</w:t>
      </w:r>
      <w:r>
        <w:t xml:space="preserve">)&lt;feature&gt;)+ [ </w:t>
      </w:r>
      <w:r>
        <w:rPr>
          <w:color w:val="FF0000"/>
        </w:rPr>
        <w:t>...</w:t>
      </w:r>
      <w:r>
        <w:t xml:space="preserve"> </w:t>
      </w:r>
      <w:r>
        <w:rPr>
          <w:color w:val="FF0000"/>
        </w:rPr>
        <w:t>...</w:t>
      </w:r>
      <w:r>
        <w:t>]</w:t>
      </w:r>
      <w:r>
        <w:rPr>
          <w:color w:val="FF0000"/>
        </w:rPr>
        <w:t>}</w:t>
      </w:r>
    </w:p>
    <w:p w:rsidR="003C0B8E" w:rsidRDefault="003C0B8E">
      <w:pPr>
        <w:ind w:right="234"/>
      </w:pPr>
    </w:p>
    <w:p w:rsidR="003C0B8E" w:rsidRDefault="0033339E">
      <w:pPr>
        <w:ind w:right="234"/>
      </w:pPr>
      <w:r>
        <w:t xml:space="preserve">The following gives the same syntax in words and gives the semantics.  </w:t>
      </w:r>
    </w:p>
    <w:p w:rsidR="003C0B8E" w:rsidRDefault="003C0B8E">
      <w:pPr>
        <w:ind w:right="234"/>
      </w:pPr>
    </w:p>
    <w:p w:rsidR="003C0B8E" w:rsidRDefault="0033339E">
      <w:pPr>
        <w:ind w:right="234"/>
      </w:pPr>
      <w:r>
        <w:t>A feature coocurrence restriction both defines a feature (column), F,  and restricts the feature cells of distinctive feature matrix rows which are +F, -F, or +-F.</w:t>
      </w:r>
    </w:p>
    <w:p w:rsidR="003C0B8E" w:rsidRDefault="003C0B8E">
      <w:pPr>
        <w:ind w:right="234"/>
      </w:pPr>
    </w:p>
    <w:p w:rsidR="003C0B8E" w:rsidRDefault="0033339E">
      <w:pPr>
        <w:ind w:right="234"/>
      </w:pPr>
      <w:r>
        <w:t xml:space="preserve">A feature coocurrence restriction is a feature, F,  whose coocurrence is being restricted, followed by the underlined word “has”, followed by an opening bracket, followed by one or more feature specifications, followed optionally by six dots (... ...), followed by a closing bracket.  </w:t>
      </w:r>
    </w:p>
    <w:p w:rsidR="003C0B8E" w:rsidRDefault="003C0B8E">
      <w:pPr>
        <w:ind w:right="234"/>
      </w:pPr>
    </w:p>
    <w:p w:rsidR="003C0B8E" w:rsidRDefault="0033339E">
      <w:pPr>
        <w:ind w:right="234"/>
      </w:pPr>
      <w:r>
        <w:t>Each feature specification includes one of three modifiers, as indicated.  A +F</w:t>
      </w:r>
      <w:r>
        <w:rPr>
          <w:vertAlign w:val="subscript"/>
        </w:rPr>
        <w:t>i</w:t>
      </w:r>
      <w:r>
        <w:t xml:space="preserve"> indicates that F has feature F</w:t>
      </w:r>
      <w:r>
        <w:rPr>
          <w:vertAlign w:val="subscript"/>
        </w:rPr>
        <w:t>i</w:t>
      </w:r>
      <w:r>
        <w:t>.  A –F</w:t>
      </w:r>
      <w:r>
        <w:rPr>
          <w:vertAlign w:val="subscript"/>
        </w:rPr>
        <w:t>i</w:t>
      </w:r>
      <w:r>
        <w:t xml:space="preserve"> indicates that F lacks F</w:t>
      </w:r>
      <w:r>
        <w:rPr>
          <w:vertAlign w:val="subscript"/>
        </w:rPr>
        <w:t>i</w:t>
      </w:r>
      <w:r>
        <w:t>.  A +-F</w:t>
      </w:r>
      <w:r>
        <w:rPr>
          <w:vertAlign w:val="subscript"/>
        </w:rPr>
        <w:t>i</w:t>
      </w:r>
      <w:r>
        <w:t xml:space="preserve"> indicates that F’s with F</w:t>
      </w:r>
      <w:r>
        <w:rPr>
          <w:vertAlign w:val="subscript"/>
        </w:rPr>
        <w:t>i</w:t>
      </w:r>
      <w:r>
        <w:t xml:space="preserve"> can exist</w:t>
      </w:r>
      <w:r>
        <w:rPr>
          <w:rStyle w:val="FootnoteReference"/>
        </w:rPr>
        <w:footnoteReference w:id="1"/>
      </w:r>
      <w:r>
        <w:t xml:space="preserve"> and also that F’s without F</w:t>
      </w:r>
      <w:r>
        <w:rPr>
          <w:vertAlign w:val="subscript"/>
        </w:rPr>
        <w:t xml:space="preserve">i </w:t>
      </w:r>
      <w:r>
        <w:t xml:space="preserve">can exist.  </w:t>
      </w:r>
    </w:p>
    <w:p w:rsidR="003C0B8E" w:rsidRDefault="003C0B8E">
      <w:pPr>
        <w:ind w:right="234"/>
      </w:pPr>
    </w:p>
    <w:p w:rsidR="003C0B8E" w:rsidRDefault="0033339E">
      <w:pPr>
        <w:ind w:right="234"/>
      </w:pPr>
      <w:r>
        <w:t>When the six dots are present, other as-yet unspecified features –F</w:t>
      </w:r>
      <w:r>
        <w:rPr>
          <w:vertAlign w:val="subscript"/>
        </w:rPr>
        <w:t>k</w:t>
      </w:r>
      <w:r>
        <w:t xml:space="preserve"> , –F</w:t>
      </w:r>
      <w:r>
        <w:rPr>
          <w:vertAlign w:val="subscript"/>
        </w:rPr>
        <w:t>k</w:t>
      </w:r>
      <w:r>
        <w:t>, or +-F</w:t>
      </w:r>
      <w:r>
        <w:rPr>
          <w:vertAlign w:val="subscript"/>
        </w:rPr>
        <w:t>k</w:t>
      </w:r>
      <w:r>
        <w:t xml:space="preserve"> may be part of the specification of F.  When the six dots are absent, no additional &lt;feature&gt;s may be added.</w:t>
      </w:r>
      <w:r>
        <w:rPr>
          <w:rStyle w:val="FootnoteReference"/>
        </w:rPr>
        <w:footnoteReference w:id="2"/>
      </w:r>
    </w:p>
    <w:p w:rsidR="0033339E" w:rsidRDefault="0033339E">
      <w:pPr>
        <w:ind w:right="234"/>
      </w:pPr>
    </w:p>
    <w:sectPr w:rsidR="0033339E" w:rsidSect="003C0B8E">
      <w:headerReference w:type="even" r:id="rId8"/>
      <w:headerReference w:type="default" r:id="rId9"/>
      <w:footerReference w:type="even" r:id="rId10"/>
      <w:footerReference w:type="default" r:id="rId11"/>
      <w:headerReference w:type="first" r:id="rId12"/>
      <w:footerReference w:type="first" r:id="rId13"/>
      <w:pgSz w:w="12240" w:h="15840" w:code="1"/>
      <w:pgMar w:top="1008" w:right="1008" w:bottom="1008" w:left="100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4707" w:rsidRDefault="00704707">
      <w:r>
        <w:separator/>
      </w:r>
    </w:p>
  </w:endnote>
  <w:endnote w:type="continuationSeparator" w:id="0">
    <w:p w:rsidR="00704707" w:rsidRDefault="007047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BB" w:rsidRDefault="00482DB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B8E" w:rsidRDefault="0033339E">
    <w:pPr>
      <w:pStyle w:val="Footer"/>
      <w:jc w:val="center"/>
    </w:pPr>
    <w:r>
      <w:t xml:space="preserve">Page </w:t>
    </w:r>
    <w:r w:rsidR="00B15AD0">
      <w:rPr>
        <w:rStyle w:val="PageNumber"/>
      </w:rPr>
      <w:fldChar w:fldCharType="begin"/>
    </w:r>
    <w:r>
      <w:rPr>
        <w:rStyle w:val="PageNumber"/>
      </w:rPr>
      <w:instrText xml:space="preserve"> PAGE </w:instrText>
    </w:r>
    <w:r w:rsidR="00B15AD0">
      <w:rPr>
        <w:rStyle w:val="PageNumber"/>
      </w:rPr>
      <w:fldChar w:fldCharType="separate"/>
    </w:r>
    <w:r w:rsidR="00482DBB">
      <w:rPr>
        <w:rStyle w:val="PageNumber"/>
        <w:noProof/>
      </w:rPr>
      <w:t>1</w:t>
    </w:r>
    <w:r w:rsidR="00B15AD0">
      <w:rPr>
        <w:rStyle w:val="PageNumber"/>
      </w:rPr>
      <w:fldChar w:fldCharType="end"/>
    </w:r>
    <w:r>
      <w:rPr>
        <w:rStyle w:val="PageNumber"/>
      </w:rPr>
      <w:t xml:space="preserve">; Last Saved: </w:t>
    </w:r>
    <w:fldSimple w:instr=" SAVEDATE  \* MERGEFORMAT ">
      <w:r w:rsidR="0017420C" w:rsidRPr="0017420C">
        <w:rPr>
          <w:rStyle w:val="PageNumber"/>
          <w:noProof/>
        </w:rPr>
        <w:t>3/4/2009 3:03:00 PM</w:t>
      </w:r>
    </w:fldSimple>
    <w:r>
      <w:rPr>
        <w:rStyle w:val="PageNumber"/>
      </w:rPr>
      <w:t xml:space="preserve">; Printed: </w:t>
    </w:r>
    <w:r w:rsidR="00B15AD0">
      <w:rPr>
        <w:rStyle w:val="PageNumber"/>
      </w:rPr>
      <w:fldChar w:fldCharType="begin"/>
    </w:r>
    <w:r>
      <w:rPr>
        <w:rStyle w:val="PageNumber"/>
      </w:rPr>
      <w:instrText xml:space="preserve"> TIME \@ "h:mm AM/PM" </w:instrText>
    </w:r>
    <w:r w:rsidR="00B15AD0">
      <w:rPr>
        <w:rStyle w:val="PageNumber"/>
      </w:rPr>
      <w:fldChar w:fldCharType="separate"/>
    </w:r>
    <w:r w:rsidR="0017420C">
      <w:rPr>
        <w:rStyle w:val="PageNumber"/>
        <w:noProof/>
      </w:rPr>
      <w:t>3:51 PM</w:t>
    </w:r>
    <w:r w:rsidR="00B15AD0">
      <w:rPr>
        <w:rStyle w:val="PageNumber"/>
      </w:rPr>
      <w:fldChar w:fldCharType="end"/>
    </w:r>
    <w:r>
      <w:rPr>
        <w:rStyle w:val="PageNumber"/>
      </w:rPr>
      <w:t xml:space="preserve"> </w:t>
    </w:r>
    <w:r w:rsidR="00B15AD0">
      <w:rPr>
        <w:rStyle w:val="PageNumber"/>
      </w:rPr>
      <w:fldChar w:fldCharType="begin"/>
    </w:r>
    <w:r>
      <w:rPr>
        <w:rStyle w:val="PageNumber"/>
      </w:rPr>
      <w:instrText xml:space="preserve"> DATE \@ "MM/dd/yy" </w:instrText>
    </w:r>
    <w:r w:rsidR="00B15AD0">
      <w:rPr>
        <w:rStyle w:val="PageNumber"/>
      </w:rPr>
      <w:fldChar w:fldCharType="separate"/>
    </w:r>
    <w:r w:rsidR="0017420C">
      <w:rPr>
        <w:rStyle w:val="PageNumber"/>
        <w:noProof/>
      </w:rPr>
      <w:t>09/21/10</w:t>
    </w:r>
    <w:r w:rsidR="00B15AD0">
      <w:rPr>
        <w:rStyle w:val="PageNumber"/>
      </w:rPr>
      <w:fldChar w:fldCharType="end"/>
    </w:r>
    <w:r>
      <w:rPr>
        <w:rStyle w:val="PageNumber"/>
      </w:rPr>
      <w:t xml:space="preserve"> Master is on work PC MM60395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BB" w:rsidRDefault="00482D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4707" w:rsidRDefault="00704707">
      <w:r>
        <w:separator/>
      </w:r>
    </w:p>
  </w:footnote>
  <w:footnote w:type="continuationSeparator" w:id="0">
    <w:p w:rsidR="00704707" w:rsidRDefault="00704707">
      <w:r>
        <w:continuationSeparator/>
      </w:r>
    </w:p>
  </w:footnote>
  <w:footnote w:id="1">
    <w:p w:rsidR="003C0B8E" w:rsidRDefault="0033339E">
      <w:pPr>
        <w:pStyle w:val="FootnoteText"/>
      </w:pPr>
      <w:r>
        <w:rPr>
          <w:rStyle w:val="FootnoteReference"/>
        </w:rPr>
        <w:footnoteRef/>
      </w:r>
      <w:r>
        <w:t xml:space="preserve"> We must distinguish the “individuals found in nature” today from those individuals found in nature in any plausible changed future.</w:t>
      </w:r>
    </w:p>
  </w:footnote>
  <w:footnote w:id="2">
    <w:p w:rsidR="003C0B8E" w:rsidRDefault="0033339E">
      <w:pPr>
        <w:ind w:right="234"/>
      </w:pPr>
      <w:r>
        <w:rPr>
          <w:rStyle w:val="FootnoteReference"/>
        </w:rPr>
        <w:footnoteRef/>
      </w:r>
      <w:r>
        <w:t xml:space="preserve"> Furthermore, every feature cell C</w:t>
      </w:r>
      <w:r>
        <w:rPr>
          <w:vertAlign w:val="subscript"/>
        </w:rPr>
        <w:t>i,j</w:t>
      </w:r>
      <w:r>
        <w:t xml:space="preserve"> of a distinctive feature matrix row having +F, -F, or +-F  must be blank (irrelevant) whenever a value for C</w:t>
      </w:r>
      <w:r>
        <w:rPr>
          <w:vertAlign w:val="subscript"/>
        </w:rPr>
        <w:t xml:space="preserve">i,j </w:t>
      </w:r>
      <w:r>
        <w:t xml:space="preserve"> is not directly or indirectly implied by a feature present in the feature coocurrence restriction.</w:t>
      </w:r>
    </w:p>
    <w:p w:rsidR="003C0B8E" w:rsidRDefault="003C0B8E">
      <w:pPr>
        <w:ind w:right="234"/>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BB" w:rsidRDefault="00482DB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BB" w:rsidRDefault="00482DB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DBB" w:rsidRDefault="00482DB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B4204"/>
    <w:rsid w:val="000023B6"/>
    <w:rsid w:val="0017420C"/>
    <w:rsid w:val="002342E8"/>
    <w:rsid w:val="002600D3"/>
    <w:rsid w:val="0033339E"/>
    <w:rsid w:val="003869AF"/>
    <w:rsid w:val="003C0B8E"/>
    <w:rsid w:val="00482DBB"/>
    <w:rsid w:val="005164BD"/>
    <w:rsid w:val="00637408"/>
    <w:rsid w:val="006B4204"/>
    <w:rsid w:val="006C72CF"/>
    <w:rsid w:val="00704707"/>
    <w:rsid w:val="0075634C"/>
    <w:rsid w:val="00775ADF"/>
    <w:rsid w:val="007C38B1"/>
    <w:rsid w:val="008638D9"/>
    <w:rsid w:val="008A14EC"/>
    <w:rsid w:val="008F55F9"/>
    <w:rsid w:val="00942BF8"/>
    <w:rsid w:val="00AD36E6"/>
    <w:rsid w:val="00B15AD0"/>
    <w:rsid w:val="00C91F68"/>
    <w:rsid w:val="00CD56D1"/>
    <w:rsid w:val="00CF6986"/>
    <w:rsid w:val="00FC56A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B8E"/>
    <w:pPr>
      <w:overflowPunct w:val="0"/>
      <w:autoSpaceDE w:val="0"/>
      <w:autoSpaceDN w:val="0"/>
      <w:adjustRightInd w:val="0"/>
      <w:textAlignment w:val="baseline"/>
    </w:pPr>
  </w:style>
  <w:style w:type="paragraph" w:styleId="Heading1">
    <w:name w:val="heading 1"/>
    <w:basedOn w:val="Normal"/>
    <w:next w:val="Normal"/>
    <w:qFormat/>
    <w:rsid w:val="003C0B8E"/>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semiHidden/>
    <w:rsid w:val="003C0B8E"/>
    <w:rPr>
      <w:sz w:val="16"/>
    </w:rPr>
  </w:style>
  <w:style w:type="paragraph" w:styleId="CommentText">
    <w:name w:val="annotation text"/>
    <w:basedOn w:val="Normal"/>
    <w:semiHidden/>
    <w:rsid w:val="003C0B8E"/>
  </w:style>
  <w:style w:type="paragraph" w:styleId="FootnoteText">
    <w:name w:val="footnote text"/>
    <w:basedOn w:val="Normal"/>
    <w:semiHidden/>
    <w:rsid w:val="003C0B8E"/>
  </w:style>
  <w:style w:type="character" w:styleId="FootnoteReference">
    <w:name w:val="footnote reference"/>
    <w:basedOn w:val="DefaultParagraphFont"/>
    <w:semiHidden/>
    <w:rsid w:val="003C0B8E"/>
    <w:rPr>
      <w:vertAlign w:val="superscript"/>
    </w:rPr>
  </w:style>
  <w:style w:type="paragraph" w:styleId="Header">
    <w:name w:val="header"/>
    <w:basedOn w:val="Normal"/>
    <w:semiHidden/>
    <w:rsid w:val="003C0B8E"/>
    <w:pPr>
      <w:tabs>
        <w:tab w:val="center" w:pos="4320"/>
        <w:tab w:val="right" w:pos="8640"/>
      </w:tabs>
    </w:pPr>
  </w:style>
  <w:style w:type="paragraph" w:styleId="Footer">
    <w:name w:val="footer"/>
    <w:basedOn w:val="Normal"/>
    <w:semiHidden/>
    <w:rsid w:val="003C0B8E"/>
    <w:pPr>
      <w:tabs>
        <w:tab w:val="center" w:pos="4320"/>
        <w:tab w:val="right" w:pos="8640"/>
      </w:tabs>
    </w:pPr>
  </w:style>
  <w:style w:type="character" w:styleId="PageNumber">
    <w:name w:val="page number"/>
    <w:basedOn w:val="DefaultParagraphFont"/>
    <w:semiHidden/>
    <w:rsid w:val="003C0B8E"/>
  </w:style>
  <w:style w:type="paragraph" w:styleId="BlockText">
    <w:name w:val="Block Text"/>
    <w:basedOn w:val="Normal"/>
    <w:rsid w:val="003C0B8E"/>
    <w:pPr>
      <w:ind w:left="3240" w:right="-1080" w:hanging="3150"/>
    </w:pPr>
    <w:rPr>
      <w:rFonts w:ascii="Courier" w:hAnsi="Courier"/>
    </w:rPr>
  </w:style>
  <w:style w:type="paragraph" w:styleId="BodyText2">
    <w:name w:val="Body Text 2"/>
    <w:basedOn w:val="Normal"/>
    <w:rsid w:val="003C0B8E"/>
    <w:pPr>
      <w:ind w:left="1440"/>
    </w:pPr>
    <w:rPr>
      <w:i/>
      <w:sz w:val="16"/>
    </w:rPr>
  </w:style>
  <w:style w:type="paragraph" w:styleId="BalloonText">
    <w:name w:val="Balloon Text"/>
    <w:basedOn w:val="Normal"/>
    <w:link w:val="BalloonTextChar"/>
    <w:uiPriority w:val="99"/>
    <w:semiHidden/>
    <w:unhideWhenUsed/>
    <w:rsid w:val="006B4204"/>
    <w:rPr>
      <w:rFonts w:ascii="Tahoma" w:hAnsi="Tahoma" w:cs="Tahoma"/>
      <w:sz w:val="16"/>
      <w:szCs w:val="16"/>
    </w:rPr>
  </w:style>
  <w:style w:type="character" w:customStyle="1" w:styleId="BalloonTextChar">
    <w:name w:val="Balloon Text Char"/>
    <w:basedOn w:val="DefaultParagraphFont"/>
    <w:link w:val="BalloonText"/>
    <w:uiPriority w:val="99"/>
    <w:semiHidden/>
    <w:rsid w:val="006B4204"/>
    <w:rPr>
      <w:rFonts w:ascii="Tahoma" w:hAnsi="Tahoma" w:cs="Tahoma"/>
      <w:sz w:val="16"/>
      <w:szCs w:val="16"/>
    </w:rPr>
  </w:style>
  <w:style w:type="character" w:styleId="Hyperlink">
    <w:name w:val="Hyperlink"/>
    <w:basedOn w:val="DefaultParagraphFont"/>
    <w:uiPriority w:val="99"/>
    <w:unhideWhenUsed/>
    <w:rsid w:val="0017420C"/>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bullionvault.com/gold-price-chart.d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5A42C-E8C0-42D0-AF5F-D1F12068C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2</Pages>
  <Words>452</Words>
  <Characters>2583</Characters>
  <Application>Microsoft Office Word</Application>
  <DocSecurity>0</DocSecurity>
  <Lines>21</Lines>
  <Paragraphs>6</Paragraphs>
  <ScaleCrop>false</ScaleCrop>
  <HeadingPairs>
    <vt:vector size="4" baseType="variant">
      <vt:variant>
        <vt:lpstr>Title</vt:lpstr>
      </vt:variant>
      <vt:variant>
        <vt:i4>1</vt:i4>
      </vt:variant>
      <vt:variant>
        <vt:lpstr>SUBCATEGORIES:</vt:lpstr>
      </vt:variant>
      <vt:variant>
        <vt:i4>0</vt:i4>
      </vt:variant>
    </vt:vector>
  </HeadingPairs>
  <TitlesOfParts>
    <vt:vector size="1" baseType="lpstr">
      <vt:lpstr>SUBCATEGORIES:</vt:lpstr>
    </vt:vector>
  </TitlesOfParts>
  <Company>The MITRE Corporation</Company>
  <LinksUpToDate>false</LinksUpToDate>
  <CharactersWithSpaces>3029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SUBCATEGORIES:</dc:title>
  <dc:subject/>
  <dc:creator>Frederick N. Chase</dc:creator>
  <cp:keywords>category feature context concept</cp:keywords>
  <dc:description/>
  <cp:lastModifiedBy>Fred</cp:lastModifiedBy>
  <cp:revision>24</cp:revision>
  <cp:lastPrinted>2003-10-14T17:12:00Z</cp:lastPrinted>
  <dcterms:created xsi:type="dcterms:W3CDTF">2003-10-14T18:34:00Z</dcterms:created>
  <dcterms:modified xsi:type="dcterms:W3CDTF">2010-09-21T20:44:00Z</dcterms:modified>
</cp:coreProperties>
</file>